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0337CC9C"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A39AE">
        <w:rPr>
          <w:rFonts w:ascii="Arial" w:eastAsia="Times New Roman" w:hAnsi="Arial" w:cs="Times New Roman"/>
          <w:b/>
          <w:snapToGrid w:val="0"/>
          <w:sz w:val="20"/>
          <w:szCs w:val="20"/>
          <w:lang w:val="es-ES_tradnl" w:eastAsia="es-ES"/>
        </w:rPr>
        <w:t>2</w:t>
      </w:r>
      <w:r w:rsidR="00585E36">
        <w:rPr>
          <w:rFonts w:ascii="Arial" w:eastAsia="Times New Roman" w:hAnsi="Arial" w:cs="Times New Roman"/>
          <w:b/>
          <w:snapToGrid w:val="0"/>
          <w:sz w:val="20"/>
          <w:szCs w:val="20"/>
          <w:lang w:val="es-ES_tradnl" w:eastAsia="es-ES"/>
        </w:rPr>
        <w:t>8</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w:t>
      </w:r>
      <w:proofErr w:type="spellStart"/>
      <w:r w:rsidRPr="004E7F63">
        <w:rPr>
          <w:rFonts w:ascii="Arial" w:eastAsia="Times New Roman" w:hAnsi="Arial" w:cs="Arial"/>
          <w:sz w:val="20"/>
          <w:szCs w:val="20"/>
        </w:rPr>
        <w:t>CONAIP</w:t>
      </w:r>
      <w:proofErr w:type="spellEnd"/>
      <w:r w:rsidRPr="004E7F63">
        <w:rPr>
          <w:rFonts w:ascii="Arial" w:eastAsia="Times New Roman" w:hAnsi="Arial" w:cs="Arial"/>
          <w:sz w:val="20"/>
          <w:szCs w:val="20"/>
        </w:rPr>
        <w:t>/</w:t>
      </w:r>
      <w:proofErr w:type="spellStart"/>
      <w:r w:rsidRPr="004E7F63">
        <w:rPr>
          <w:rFonts w:ascii="Arial" w:eastAsia="Times New Roman" w:hAnsi="Arial" w:cs="Arial"/>
          <w:sz w:val="20"/>
          <w:szCs w:val="20"/>
        </w:rPr>
        <w:t>SNT</w:t>
      </w:r>
      <w:proofErr w:type="spellEnd"/>
      <w:r w:rsidRPr="004E7F63">
        <w:rPr>
          <w:rFonts w:ascii="Arial" w:eastAsia="Times New Roman" w:hAnsi="Arial" w:cs="Arial"/>
          <w:sz w:val="20"/>
          <w:szCs w:val="20"/>
        </w:rPr>
        <w:t>/ACUERDO/</w:t>
      </w:r>
      <w:proofErr w:type="spellStart"/>
      <w:r w:rsidRPr="004E7F63">
        <w:rPr>
          <w:rFonts w:ascii="Arial" w:eastAsia="Times New Roman" w:hAnsi="Arial" w:cs="Arial"/>
          <w:sz w:val="20"/>
          <w:szCs w:val="20"/>
        </w:rPr>
        <w:t>ORD01</w:t>
      </w:r>
      <w:proofErr w:type="spellEnd"/>
      <w:r w:rsidRPr="004E7F63">
        <w:rPr>
          <w:rFonts w:ascii="Arial" w:eastAsia="Times New Roman" w:hAnsi="Arial" w:cs="Arial"/>
          <w:sz w:val="20"/>
          <w:szCs w:val="20"/>
        </w:rPr>
        <w:t>-29/01/2024-03,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default" r:id="rId7"/>
      <w:footerReference w:type="default" r:id="rId8"/>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CC5EE" w14:textId="77777777" w:rsidR="008B316C" w:rsidRDefault="008B316C" w:rsidP="001D6CDD">
      <w:pPr>
        <w:spacing w:after="0" w:line="240" w:lineRule="auto"/>
      </w:pPr>
      <w:r>
        <w:separator/>
      </w:r>
    </w:p>
  </w:endnote>
  <w:endnote w:type="continuationSeparator" w:id="0">
    <w:p w14:paraId="0CDFCF03" w14:textId="77777777" w:rsidR="008B316C" w:rsidRDefault="008B316C"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78866B72" w:rsidR="001D6CDD" w:rsidRPr="00F11C5A" w:rsidRDefault="00F11C5A" w:rsidP="00EC5DAE">
    <w:pPr>
      <w:pStyle w:val="Piedepgina"/>
      <w:ind w:right="-567"/>
      <w:jc w:val="right"/>
      <w:rPr>
        <w:lang w:val="en-US"/>
      </w:rPr>
    </w:pPr>
    <w:r>
      <w:rPr>
        <w:rFonts w:ascii="Arial" w:hAnsi="Arial" w:cs="Arial"/>
        <w:sz w:val="10"/>
        <w:szCs w:val="10"/>
        <w:lang w:val="en-US"/>
      </w:rPr>
      <w:t>SCJN/C</w:t>
    </w:r>
    <w:r w:rsidR="00585E36">
      <w:rPr>
        <w:rFonts w:ascii="Arial" w:hAnsi="Arial" w:cs="Arial"/>
        <w:sz w:val="10"/>
        <w:szCs w:val="10"/>
        <w:lang w:val="en-US"/>
      </w:rPr>
      <w:t>I</w:t>
    </w:r>
    <w:r>
      <w:rPr>
        <w:rFonts w:ascii="Arial" w:hAnsi="Arial" w:cs="Arial"/>
        <w:sz w:val="10"/>
        <w:szCs w:val="10"/>
        <w:lang w:val="en-US"/>
      </w:rPr>
      <w:t>P/DGIF-</w:t>
    </w:r>
    <w:proofErr w:type="spellStart"/>
    <w:r>
      <w:rPr>
        <w:rFonts w:ascii="Arial" w:hAnsi="Arial" w:cs="Arial"/>
        <w:sz w:val="10"/>
        <w:szCs w:val="10"/>
        <w:lang w:val="en-US"/>
      </w:rPr>
      <w:t>DACCI</w:t>
    </w:r>
    <w:proofErr w:type="spellEnd"/>
    <w:r>
      <w:rPr>
        <w:rFonts w:ascii="Arial" w:hAnsi="Arial" w:cs="Arial"/>
        <w:sz w:val="10"/>
        <w:szCs w:val="10"/>
        <w:lang w:val="en-US"/>
      </w:rPr>
      <w:t>/0</w:t>
    </w:r>
    <w:r w:rsidR="00585E36">
      <w:rPr>
        <w:rFonts w:ascii="Arial" w:hAnsi="Arial" w:cs="Arial"/>
        <w:sz w:val="10"/>
        <w:szCs w:val="10"/>
        <w:lang w:val="en-US"/>
      </w:rPr>
      <w:t>0</w:t>
    </w:r>
    <w:r w:rsidR="009C70B8">
      <w:rPr>
        <w:rFonts w:ascii="Arial" w:hAnsi="Arial" w:cs="Arial"/>
        <w:sz w:val="10"/>
        <w:szCs w:val="10"/>
        <w:lang w:val="en-US"/>
      </w:rPr>
      <w:t>4</w:t>
    </w:r>
    <w:r>
      <w:rPr>
        <w:rFonts w:ascii="Arial" w:hAnsi="Arial" w:cs="Arial"/>
        <w:sz w:val="10"/>
        <w:szCs w:val="10"/>
        <w:lang w:val="en-US"/>
      </w:rPr>
      <w:t>/2024</w:t>
    </w:r>
    <w:r w:rsidR="00241E61" w:rsidRPr="00241E61">
      <w:rPr>
        <w:rFonts w:ascii="Arial" w:hAnsi="Arial" w:cs="Arial"/>
        <w:sz w:val="10"/>
        <w:szCs w:val="10"/>
        <w:lang w:val="en-US"/>
      </w:rPr>
      <w:t xml:space="preserve"> ANEXO </w:t>
    </w:r>
    <w:r w:rsidR="00AC0ABC">
      <w:rPr>
        <w:rFonts w:ascii="Arial" w:hAnsi="Arial" w:cs="Arial"/>
        <w:sz w:val="10"/>
        <w:szCs w:val="10"/>
        <w:lang w:val="en-US"/>
      </w:rPr>
      <w:t>2</w:t>
    </w:r>
    <w:r w:rsidR="00585E36">
      <w:rPr>
        <w:rFonts w:ascii="Arial" w:hAnsi="Arial" w:cs="Arial"/>
        <w:sz w:val="10"/>
        <w:szCs w:val="10"/>
        <w:lang w:val="en-US"/>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F449D" w14:textId="77777777" w:rsidR="008B316C" w:rsidRDefault="008B316C" w:rsidP="001D6CDD">
      <w:pPr>
        <w:spacing w:after="0" w:line="240" w:lineRule="auto"/>
      </w:pPr>
      <w:r>
        <w:separator/>
      </w:r>
    </w:p>
  </w:footnote>
  <w:footnote w:type="continuationSeparator" w:id="0">
    <w:p w14:paraId="31560E9F" w14:textId="77777777" w:rsidR="008B316C" w:rsidRDefault="008B316C"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0925" w14:textId="77777777" w:rsidR="00585E36" w:rsidRPr="00033846" w:rsidRDefault="00585E36" w:rsidP="00585E36">
    <w:pPr>
      <w:spacing w:after="0"/>
      <w:ind w:right="17"/>
      <w:jc w:val="center"/>
      <w:rPr>
        <w:rFonts w:ascii="Arial Unicode MS" w:eastAsia="Arial Unicode MS" w:hAnsi="Arial Unicode MS" w:cs="Arial Unicode MS"/>
        <w:b/>
        <w:color w:val="7F7F7F" w:themeColor="text1" w:themeTint="80"/>
        <w:sz w:val="20"/>
        <w:szCs w:val="20"/>
        <w:lang w:val="es-ES"/>
      </w:rPr>
    </w:pPr>
    <w:bookmarkStart w:id="0" w:name="_Hlk150855529"/>
    <w:r w:rsidRPr="00033846">
      <w:rPr>
        <w:rFonts w:ascii="Arial Unicode MS" w:eastAsia="Arial Unicode MS" w:hAnsi="Arial Unicode MS" w:cs="Arial Unicode MS"/>
        <w:b/>
        <w:color w:val="7F7F7F" w:themeColor="text1" w:themeTint="80"/>
        <w:sz w:val="20"/>
        <w:szCs w:val="20"/>
        <w:lang w:val="es-ES"/>
      </w:rPr>
      <w:t>CONCURSO POR INVITACIÓN PUBLICA SCJN/CIP/DGIF-</w:t>
    </w:r>
    <w:proofErr w:type="spellStart"/>
    <w:r w:rsidRPr="00033846">
      <w:rPr>
        <w:rFonts w:ascii="Arial Unicode MS" w:eastAsia="Arial Unicode MS" w:hAnsi="Arial Unicode MS" w:cs="Arial Unicode MS"/>
        <w:b/>
        <w:color w:val="7F7F7F" w:themeColor="text1" w:themeTint="80"/>
        <w:sz w:val="20"/>
        <w:szCs w:val="20"/>
        <w:lang w:val="es-ES"/>
      </w:rPr>
      <w:t>DACCI</w:t>
    </w:r>
    <w:proofErr w:type="spellEnd"/>
    <w:r w:rsidRPr="00033846">
      <w:rPr>
        <w:rFonts w:ascii="Arial Unicode MS" w:eastAsia="Arial Unicode MS" w:hAnsi="Arial Unicode MS" w:cs="Arial Unicode MS"/>
        <w:b/>
        <w:color w:val="7F7F7F" w:themeColor="text1" w:themeTint="80"/>
        <w:sz w:val="20"/>
        <w:szCs w:val="20"/>
        <w:lang w:val="es-ES"/>
      </w:rPr>
      <w:t>/00</w:t>
    </w:r>
    <w:r>
      <w:rPr>
        <w:rFonts w:ascii="Arial Unicode MS" w:eastAsia="Arial Unicode MS" w:hAnsi="Arial Unicode MS" w:cs="Arial Unicode MS"/>
        <w:b/>
        <w:color w:val="7F7F7F" w:themeColor="text1" w:themeTint="80"/>
        <w:sz w:val="20"/>
        <w:szCs w:val="20"/>
        <w:lang w:val="es-ES"/>
      </w:rPr>
      <w:t>4</w:t>
    </w:r>
    <w:r w:rsidRPr="00033846">
      <w:rPr>
        <w:rFonts w:ascii="Arial Unicode MS" w:eastAsia="Arial Unicode MS" w:hAnsi="Arial Unicode MS" w:cs="Arial Unicode MS"/>
        <w:b/>
        <w:color w:val="7F7F7F" w:themeColor="text1" w:themeTint="80"/>
        <w:sz w:val="20"/>
        <w:szCs w:val="20"/>
        <w:lang w:val="es-ES"/>
      </w:rPr>
      <w:t>/2024</w:t>
    </w:r>
  </w:p>
  <w:p w14:paraId="6502A063" w14:textId="77777777" w:rsidR="00585E36" w:rsidRPr="00CC5891" w:rsidRDefault="00585E36" w:rsidP="00585E36">
    <w:pPr>
      <w:spacing w:after="0"/>
      <w:ind w:right="17"/>
      <w:jc w:val="center"/>
      <w:rPr>
        <w:rFonts w:ascii="Arial Unicode MS" w:eastAsia="Arial Unicode MS" w:hAnsi="Arial Unicode MS" w:cs="Arial Unicode MS"/>
        <w:b/>
        <w:bCs/>
        <w:color w:val="7F7F7F" w:themeColor="text1" w:themeTint="80"/>
        <w:sz w:val="20"/>
        <w:szCs w:val="20"/>
        <w:lang w:val="es-ES"/>
      </w:rPr>
    </w:pPr>
    <w:r w:rsidRPr="00033846">
      <w:rPr>
        <w:rFonts w:ascii="Arial Unicode MS" w:eastAsia="Arial Unicode MS" w:hAnsi="Arial Unicode MS" w:cs="Arial Unicode MS"/>
        <w:b/>
        <w:color w:val="7F7F7F" w:themeColor="text1" w:themeTint="80"/>
        <w:sz w:val="20"/>
        <w:szCs w:val="20"/>
        <w:lang w:val="es-ES"/>
      </w:rPr>
      <w:t>“</w:t>
    </w:r>
    <w:bookmarkEnd w:id="0"/>
    <w:r w:rsidRPr="00CC5891">
      <w:rPr>
        <w:rFonts w:ascii="Arial Unicode MS" w:eastAsia="Arial Unicode MS" w:hAnsi="Arial Unicode MS" w:cs="Arial Unicode MS"/>
        <w:b/>
        <w:bCs/>
        <w:color w:val="7F7F7F" w:themeColor="text1" w:themeTint="80"/>
        <w:sz w:val="20"/>
        <w:szCs w:val="20"/>
        <w:lang w:val="es-ES"/>
      </w:rPr>
      <w:t xml:space="preserve">SUMINISTRO E INSTALACIÓN DE UNA LONA RETRÁCTIL EN LA </w:t>
    </w:r>
  </w:p>
  <w:p w14:paraId="30CFEEE6" w14:textId="77777777" w:rsidR="00585E36" w:rsidRPr="00033846" w:rsidRDefault="00585E36" w:rsidP="00585E36">
    <w:pPr>
      <w:spacing w:after="0"/>
      <w:ind w:right="17"/>
      <w:jc w:val="center"/>
      <w:rPr>
        <w:rFonts w:ascii="Arial Unicode MS" w:eastAsia="Arial Unicode MS" w:hAnsi="Arial Unicode MS" w:cs="Arial Unicode MS"/>
        <w:b/>
        <w:color w:val="7F7F7F" w:themeColor="text1" w:themeTint="80"/>
        <w:sz w:val="20"/>
        <w:szCs w:val="20"/>
        <w:lang w:val="es-ES"/>
      </w:rPr>
    </w:pPr>
    <w:r w:rsidRPr="00CC5891">
      <w:rPr>
        <w:rFonts w:ascii="Arial Unicode MS" w:eastAsia="Arial Unicode MS" w:hAnsi="Arial Unicode MS" w:cs="Arial Unicode MS"/>
        <w:b/>
        <w:bCs/>
        <w:color w:val="7F7F7F" w:themeColor="text1" w:themeTint="80"/>
        <w:sz w:val="20"/>
        <w:szCs w:val="20"/>
        <w:lang w:val="es-ES"/>
      </w:rPr>
      <w:t>DIRECCIÓN GENERAL DE JUSTICIA TV, CANAL DEL PODER JUDICIAL DE LA FEDERACIÓN</w:t>
    </w:r>
    <w:r>
      <w:rPr>
        <w:rFonts w:ascii="Arial Unicode MS" w:eastAsia="Arial Unicode MS" w:hAnsi="Arial Unicode MS" w:cs="Arial Unicode MS" w:hint="eastAsia"/>
        <w:b/>
        <w:color w:val="7F7F7F" w:themeColor="text1" w:themeTint="80"/>
        <w:sz w:val="20"/>
        <w:szCs w:val="20"/>
      </w:rPr>
      <w:t>”</w:t>
    </w:r>
  </w:p>
  <w:p w14:paraId="64451AC1" w14:textId="7E67144F" w:rsidR="00443963" w:rsidRPr="00585E36" w:rsidRDefault="00443963" w:rsidP="00585E36">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85E36"/>
    <w:rsid w:val="005A7271"/>
    <w:rsid w:val="005B1401"/>
    <w:rsid w:val="005B67F1"/>
    <w:rsid w:val="005C4BF6"/>
    <w:rsid w:val="005D4C7B"/>
    <w:rsid w:val="00610C0D"/>
    <w:rsid w:val="0061295A"/>
    <w:rsid w:val="00612FAA"/>
    <w:rsid w:val="006265CF"/>
    <w:rsid w:val="0063745E"/>
    <w:rsid w:val="00647B17"/>
    <w:rsid w:val="00654756"/>
    <w:rsid w:val="00656BBA"/>
    <w:rsid w:val="00670179"/>
    <w:rsid w:val="00684A8D"/>
    <w:rsid w:val="006864EB"/>
    <w:rsid w:val="00692593"/>
    <w:rsid w:val="006A0543"/>
    <w:rsid w:val="006B70CA"/>
    <w:rsid w:val="006C74A6"/>
    <w:rsid w:val="006F288D"/>
    <w:rsid w:val="006F327B"/>
    <w:rsid w:val="007448E8"/>
    <w:rsid w:val="0074600B"/>
    <w:rsid w:val="00757943"/>
    <w:rsid w:val="00777756"/>
    <w:rsid w:val="00780EB7"/>
    <w:rsid w:val="007823F6"/>
    <w:rsid w:val="007A377D"/>
    <w:rsid w:val="007C4149"/>
    <w:rsid w:val="007D5908"/>
    <w:rsid w:val="007E35C4"/>
    <w:rsid w:val="0080150C"/>
    <w:rsid w:val="00816D49"/>
    <w:rsid w:val="00817B8A"/>
    <w:rsid w:val="0082621D"/>
    <w:rsid w:val="00851D7A"/>
    <w:rsid w:val="00872EF6"/>
    <w:rsid w:val="008B0D4D"/>
    <w:rsid w:val="008B316C"/>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C20A9"/>
    <w:rsid w:val="009C70B8"/>
    <w:rsid w:val="009D0A54"/>
    <w:rsid w:val="009E7776"/>
    <w:rsid w:val="009F17C3"/>
    <w:rsid w:val="009F4859"/>
    <w:rsid w:val="00A0366D"/>
    <w:rsid w:val="00A101BD"/>
    <w:rsid w:val="00A233C2"/>
    <w:rsid w:val="00A33A39"/>
    <w:rsid w:val="00A40194"/>
    <w:rsid w:val="00A7478C"/>
    <w:rsid w:val="00A747C8"/>
    <w:rsid w:val="00A84A3B"/>
    <w:rsid w:val="00A91959"/>
    <w:rsid w:val="00A95C08"/>
    <w:rsid w:val="00A96F73"/>
    <w:rsid w:val="00AA039D"/>
    <w:rsid w:val="00AB0074"/>
    <w:rsid w:val="00AB5036"/>
    <w:rsid w:val="00AC0ABC"/>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D5F4B"/>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8</cp:revision>
  <cp:lastPrinted>2019-03-28T18:53:00Z</cp:lastPrinted>
  <dcterms:created xsi:type="dcterms:W3CDTF">2024-07-17T01:08:00Z</dcterms:created>
  <dcterms:modified xsi:type="dcterms:W3CDTF">2024-08-30T18:09:00Z</dcterms:modified>
</cp:coreProperties>
</file>